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AE3" w:rsidRDefault="002D5AE3">
      <w:pPr>
        <w:pStyle w:val="Nagwek2"/>
        <w:keepNext w:val="0"/>
        <w:keepLines w:val="0"/>
        <w:shd w:val="clear" w:color="auto" w:fill="FFFFFF"/>
        <w:spacing w:before="0" w:after="160" w:line="264" w:lineRule="auto"/>
        <w:jc w:val="center"/>
        <w:rPr>
          <w:rFonts w:ascii="Arial" w:eastAsia="Arial" w:hAnsi="Arial" w:cs="Arial"/>
          <w:sz w:val="22"/>
          <w:szCs w:val="22"/>
        </w:rPr>
      </w:pPr>
      <w:bookmarkStart w:id="0" w:name="_7k2g2wrcwpza" w:colFirst="0" w:colLast="0"/>
      <w:bookmarkEnd w:id="0"/>
    </w:p>
    <w:p w:rsidR="002D5AE3" w:rsidRDefault="00683D0D">
      <w:pPr>
        <w:pStyle w:val="Nagwek2"/>
        <w:keepNext w:val="0"/>
        <w:keepLines w:val="0"/>
        <w:shd w:val="clear" w:color="auto" w:fill="FFFFFF"/>
        <w:spacing w:before="0" w:after="160" w:line="264" w:lineRule="auto"/>
        <w:jc w:val="center"/>
        <w:rPr>
          <w:rFonts w:ascii="Arial" w:eastAsia="Arial" w:hAnsi="Arial" w:cs="Arial"/>
          <w:sz w:val="32"/>
          <w:szCs w:val="32"/>
        </w:rPr>
      </w:pPr>
      <w:bookmarkStart w:id="1" w:name="_luvksstnriy" w:colFirst="0" w:colLast="0"/>
      <w:bookmarkEnd w:id="1"/>
      <w:r>
        <w:rPr>
          <w:rFonts w:ascii="Arial" w:eastAsia="Arial" w:hAnsi="Arial" w:cs="Arial"/>
          <w:sz w:val="22"/>
          <w:szCs w:val="22"/>
        </w:rPr>
        <w:t>3.3.2 Redukcja emisji - Nr naboru RPPK.03.03.02-IZ-00-18-001/18</w:t>
      </w:r>
    </w:p>
    <w:p w:rsidR="002D5AE3" w:rsidRDefault="00683D0D">
      <w:pPr>
        <w:spacing w:after="0" w:line="276" w:lineRule="auto"/>
        <w:jc w:val="center"/>
        <w:rPr>
          <w:rFonts w:ascii="Arial" w:eastAsia="Arial" w:hAnsi="Arial" w:cs="Arial"/>
          <w:b/>
        </w:rPr>
      </w:pPr>
      <w:r>
        <w:rPr>
          <w:rFonts w:ascii="Arial" w:eastAsia="Arial" w:hAnsi="Arial" w:cs="Arial"/>
          <w:b/>
        </w:rPr>
        <w:t xml:space="preserve">Kocioł na ekogroszek klasy 5, </w:t>
      </w:r>
      <w:proofErr w:type="spellStart"/>
      <w:r>
        <w:rPr>
          <w:rFonts w:ascii="Arial" w:eastAsia="Arial" w:hAnsi="Arial" w:cs="Arial"/>
          <w:b/>
        </w:rPr>
        <w:t>ekodesign</w:t>
      </w:r>
      <w:proofErr w:type="spellEnd"/>
    </w:p>
    <w:p w:rsidR="008F21F2" w:rsidRDefault="008F21F2">
      <w:pPr>
        <w:spacing w:after="0" w:line="276" w:lineRule="auto"/>
        <w:jc w:val="center"/>
        <w:rPr>
          <w:rFonts w:ascii="Arial" w:eastAsia="Arial" w:hAnsi="Arial" w:cs="Arial"/>
          <w:b/>
        </w:rPr>
      </w:pPr>
      <w:r>
        <w:t xml:space="preserve">Ekogroszek - </w:t>
      </w:r>
      <w:r>
        <w:t xml:space="preserve">nazwa handlowa określająca </w:t>
      </w:r>
      <w:r w:rsidRPr="008F21F2">
        <w:t>paliwo stałe</w:t>
      </w:r>
      <w:r>
        <w:t xml:space="preserve"> produkowane z </w:t>
      </w:r>
      <w:r w:rsidRPr="008F21F2">
        <w:t>węgla kamiennego</w:t>
      </w:r>
      <w:r>
        <w:t xml:space="preserve"> lub </w:t>
      </w:r>
      <w:r w:rsidRPr="008F21F2">
        <w:t>brunatnego</w:t>
      </w:r>
      <w:r>
        <w:rPr>
          <w:vertAlign w:val="superscript"/>
        </w:rPr>
        <w:t xml:space="preserve"> </w:t>
      </w:r>
      <w:r>
        <w:t xml:space="preserve">przeznaczone do produkcji </w:t>
      </w:r>
      <w:r w:rsidRPr="008F21F2">
        <w:t>energii cieplnej</w:t>
      </w:r>
      <w:r>
        <w:t xml:space="preserve"> w </w:t>
      </w:r>
      <w:r w:rsidRPr="008F21F2">
        <w:t>kotłach retortowych</w:t>
      </w:r>
      <w:r>
        <w:t>.</w:t>
      </w:r>
    </w:p>
    <w:p w:rsidR="002D5AE3" w:rsidRDefault="002D5AE3">
      <w:pPr>
        <w:spacing w:after="0" w:line="276" w:lineRule="auto"/>
        <w:rPr>
          <w:rFonts w:ascii="Arial" w:eastAsia="Arial" w:hAnsi="Arial" w:cs="Arial"/>
        </w:rPr>
      </w:pPr>
    </w:p>
    <w:p w:rsidR="002D5AE3" w:rsidRDefault="00683D0D">
      <w:pPr>
        <w:spacing w:after="0" w:line="276" w:lineRule="auto"/>
        <w:rPr>
          <w:rFonts w:ascii="Arial" w:eastAsia="Arial" w:hAnsi="Arial" w:cs="Arial"/>
        </w:rPr>
      </w:pPr>
      <w:r>
        <w:rPr>
          <w:rFonts w:ascii="Arial" w:eastAsia="Arial" w:hAnsi="Arial" w:cs="Arial"/>
          <w:b/>
        </w:rPr>
        <w:t>Ważne informacje dotyczące technologii:</w:t>
      </w:r>
      <w:r>
        <w:rPr>
          <w:noProof/>
        </w:rPr>
        <w:drawing>
          <wp:anchor distT="19050" distB="19050" distL="19050" distR="19050" simplePos="0" relativeHeight="251658240" behindDoc="0" locked="0" layoutInCell="1" hidden="0" allowOverlap="1">
            <wp:simplePos x="0" y="0"/>
            <wp:positionH relativeFrom="margin">
              <wp:posOffset>85725</wp:posOffset>
            </wp:positionH>
            <wp:positionV relativeFrom="paragraph">
              <wp:posOffset>28575</wp:posOffset>
            </wp:positionV>
            <wp:extent cx="2367280" cy="2143125"/>
            <wp:effectExtent l="0" t="0" r="0" b="0"/>
            <wp:wrapSquare wrapText="bothSides" distT="19050" distB="19050" distL="19050" distR="19050"/>
            <wp:docPr id="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r="-10459"/>
                    <a:stretch>
                      <a:fillRect/>
                    </a:stretch>
                  </pic:blipFill>
                  <pic:spPr>
                    <a:xfrm>
                      <a:off x="0" y="0"/>
                      <a:ext cx="2367280" cy="2143125"/>
                    </a:xfrm>
                    <a:prstGeom prst="rect">
                      <a:avLst/>
                    </a:prstGeom>
                    <a:ln/>
                  </pic:spPr>
                </pic:pic>
              </a:graphicData>
            </a:graphic>
          </wp:anchor>
        </w:drawing>
      </w:r>
    </w:p>
    <w:p w:rsidR="002D5AE3" w:rsidRDefault="00683D0D">
      <w:pPr>
        <w:spacing w:after="0" w:line="276" w:lineRule="auto"/>
        <w:ind w:left="720"/>
        <w:rPr>
          <w:rFonts w:ascii="Arial" w:eastAsia="Arial" w:hAnsi="Arial" w:cs="Arial"/>
        </w:rPr>
      </w:pPr>
      <w:r>
        <w:rPr>
          <w:rFonts w:ascii="Arial" w:eastAsia="Arial" w:hAnsi="Arial" w:cs="Arial"/>
        </w:rPr>
        <w:t>- sprawność powyżej  88 %</w:t>
      </w:r>
    </w:p>
    <w:p w:rsidR="002D5AE3" w:rsidRDefault="00683D0D">
      <w:pPr>
        <w:spacing w:after="0" w:line="276" w:lineRule="auto"/>
        <w:ind w:left="720"/>
        <w:rPr>
          <w:rFonts w:ascii="Arial" w:eastAsia="Arial" w:hAnsi="Arial" w:cs="Arial"/>
        </w:rPr>
      </w:pPr>
      <w:r>
        <w:rPr>
          <w:rFonts w:ascii="Arial" w:eastAsia="Arial" w:hAnsi="Arial" w:cs="Arial"/>
        </w:rPr>
        <w:t>- możliwość modulacji mocy</w:t>
      </w:r>
    </w:p>
    <w:p w:rsidR="002D5AE3" w:rsidRDefault="00683D0D">
      <w:pPr>
        <w:spacing w:after="0" w:line="276" w:lineRule="auto"/>
        <w:ind w:left="720"/>
        <w:rPr>
          <w:rFonts w:ascii="Arial" w:eastAsia="Arial" w:hAnsi="Arial" w:cs="Arial"/>
        </w:rPr>
      </w:pPr>
      <w:r>
        <w:rPr>
          <w:rFonts w:ascii="Arial" w:eastAsia="Arial" w:hAnsi="Arial" w:cs="Arial"/>
        </w:rPr>
        <w:t>- mogą pracować w układzie zamkniętym i otwartym</w:t>
      </w:r>
    </w:p>
    <w:p w:rsidR="002D5AE3" w:rsidRDefault="00683D0D">
      <w:pPr>
        <w:spacing w:after="0" w:line="276" w:lineRule="auto"/>
        <w:ind w:left="720"/>
        <w:rPr>
          <w:rFonts w:ascii="Arial" w:eastAsia="Arial" w:hAnsi="Arial" w:cs="Arial"/>
        </w:rPr>
      </w:pPr>
      <w:r>
        <w:rPr>
          <w:rFonts w:ascii="Arial" w:eastAsia="Arial" w:hAnsi="Arial" w:cs="Arial"/>
        </w:rPr>
        <w:t xml:space="preserve">- kotłownia musi spełniać wymogi zgodnie z </w:t>
      </w:r>
      <w:r>
        <w:rPr>
          <w:rFonts w:ascii="Arial" w:eastAsia="Arial" w:hAnsi="Arial" w:cs="Arial"/>
          <w:color w:val="525252"/>
          <w:highlight w:val="white"/>
        </w:rPr>
        <w:t>rozporządzeniem Ministra Infrastruktury dotyczącego warunków technicznych jakim powinny odpowiadać budynki i ich usytuowanie oraz przywołanymi normami.</w:t>
      </w:r>
    </w:p>
    <w:p w:rsidR="002D5AE3" w:rsidRDefault="00683D0D">
      <w:pPr>
        <w:spacing w:after="0" w:line="276" w:lineRule="auto"/>
        <w:ind w:left="720"/>
        <w:rPr>
          <w:rFonts w:ascii="Arial" w:eastAsia="Arial" w:hAnsi="Arial" w:cs="Arial"/>
        </w:rPr>
      </w:pPr>
      <w:r>
        <w:rPr>
          <w:rFonts w:ascii="Arial" w:eastAsia="Arial" w:hAnsi="Arial" w:cs="Arial"/>
        </w:rPr>
        <w:t>- konieczność składowania paliwa</w:t>
      </w:r>
    </w:p>
    <w:p w:rsidR="002D5AE3" w:rsidRDefault="00683D0D">
      <w:pPr>
        <w:spacing w:after="0" w:line="276" w:lineRule="auto"/>
        <w:ind w:left="720"/>
        <w:rPr>
          <w:rFonts w:ascii="Arial" w:eastAsia="Arial" w:hAnsi="Arial" w:cs="Arial"/>
        </w:rPr>
      </w:pPr>
      <w:r>
        <w:rPr>
          <w:rFonts w:ascii="Arial" w:eastAsia="Arial" w:hAnsi="Arial" w:cs="Arial"/>
        </w:rPr>
        <w:t>- wymaga obsługi, załadunek paliwa</w:t>
      </w:r>
    </w:p>
    <w:p w:rsidR="002D5AE3" w:rsidRDefault="00683D0D">
      <w:pPr>
        <w:spacing w:after="0" w:line="276" w:lineRule="auto"/>
        <w:ind w:left="720"/>
        <w:rPr>
          <w:rFonts w:ascii="Arial" w:eastAsia="Arial" w:hAnsi="Arial" w:cs="Arial"/>
        </w:rPr>
      </w:pPr>
      <w:r>
        <w:rPr>
          <w:rFonts w:ascii="Arial" w:eastAsia="Arial" w:hAnsi="Arial" w:cs="Arial"/>
        </w:rPr>
        <w:t>- wymaga okresowego czyszczenia</w:t>
      </w:r>
    </w:p>
    <w:p w:rsidR="002D5AE3" w:rsidRDefault="00683D0D">
      <w:pPr>
        <w:spacing w:after="0" w:line="276" w:lineRule="auto"/>
        <w:ind w:left="720"/>
        <w:rPr>
          <w:rFonts w:ascii="Arial" w:eastAsia="Arial" w:hAnsi="Arial" w:cs="Arial"/>
        </w:rPr>
      </w:pPr>
      <w:r>
        <w:rPr>
          <w:rFonts w:ascii="Arial" w:eastAsia="Arial" w:hAnsi="Arial" w:cs="Arial"/>
        </w:rPr>
        <w:t>- powstaje pył i popiół</w:t>
      </w:r>
    </w:p>
    <w:p w:rsidR="002D5AE3" w:rsidRDefault="00683D0D" w:rsidP="008F21F2">
      <w:pPr>
        <w:spacing w:after="0" w:line="276" w:lineRule="auto"/>
        <w:ind w:left="3600" w:firstLine="720"/>
        <w:rPr>
          <w:rFonts w:ascii="Arial" w:eastAsia="Arial" w:hAnsi="Arial" w:cs="Arial"/>
        </w:rPr>
      </w:pPr>
      <w:r>
        <w:rPr>
          <w:rFonts w:ascii="Arial" w:eastAsia="Arial" w:hAnsi="Arial" w:cs="Arial"/>
        </w:rPr>
        <w:t>- konieczność wentylacji</w:t>
      </w: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683D0D">
      <w:pPr>
        <w:spacing w:after="0" w:line="276" w:lineRule="auto"/>
        <w:rPr>
          <w:rFonts w:ascii="Arial" w:eastAsia="Arial" w:hAnsi="Arial" w:cs="Arial"/>
          <w:b/>
        </w:rPr>
      </w:pPr>
      <w:r>
        <w:rPr>
          <w:rFonts w:ascii="Arial" w:eastAsia="Arial" w:hAnsi="Arial" w:cs="Arial"/>
          <w:b/>
        </w:rPr>
        <w:t>Producenci kotłów na paliwo stałe inne niż biomasa:</w:t>
      </w:r>
    </w:p>
    <w:p w:rsidR="002D5AE3" w:rsidRDefault="00683D0D">
      <w:pPr>
        <w:spacing w:after="0" w:line="276" w:lineRule="auto"/>
        <w:rPr>
          <w:rFonts w:ascii="Arial" w:eastAsia="Arial" w:hAnsi="Arial" w:cs="Arial"/>
        </w:rPr>
      </w:pPr>
      <w:r>
        <w:rPr>
          <w:rFonts w:ascii="Arial" w:eastAsia="Arial" w:hAnsi="Arial" w:cs="Arial"/>
        </w:rPr>
        <w:t>DEFRO, KOŁTON, PEREKO OGNIWO, TERMO-TECH, METAL-FACH, PROSAT, ZĘBIEC, KLIMOSZ, TEKLA, SAS, TAURUS, STALMARK, HEIZTECHNIK, GALMET, EKOGREŃ</w:t>
      </w:r>
    </w:p>
    <w:p w:rsidR="002D5AE3" w:rsidRDefault="00683D0D">
      <w:pPr>
        <w:spacing w:after="0" w:line="276" w:lineRule="auto"/>
        <w:rPr>
          <w:rFonts w:ascii="Arial" w:eastAsia="Arial" w:hAnsi="Arial" w:cs="Arial"/>
          <w:b/>
        </w:rPr>
      </w:pPr>
      <w:r>
        <w:rPr>
          <w:rFonts w:ascii="Arial" w:eastAsia="Arial" w:hAnsi="Arial" w:cs="Arial"/>
          <w:b/>
        </w:rPr>
        <w:t>Typowy przedział mocy kotłów [kW]:</w:t>
      </w:r>
    </w:p>
    <w:p w:rsidR="002D5AE3" w:rsidRDefault="00683D0D">
      <w:pPr>
        <w:spacing w:after="0" w:line="276" w:lineRule="auto"/>
        <w:rPr>
          <w:rFonts w:ascii="Arial" w:eastAsia="Arial" w:hAnsi="Arial" w:cs="Arial"/>
        </w:rPr>
      </w:pPr>
      <w:r>
        <w:rPr>
          <w:rFonts w:ascii="Arial" w:eastAsia="Arial" w:hAnsi="Arial" w:cs="Arial"/>
        </w:rPr>
        <w:t>12 - 50 [kW]</w:t>
      </w:r>
    </w:p>
    <w:p w:rsidR="002D5AE3" w:rsidRDefault="00683D0D">
      <w:pPr>
        <w:spacing w:after="0" w:line="276" w:lineRule="auto"/>
        <w:rPr>
          <w:rFonts w:ascii="Arial" w:eastAsia="Arial" w:hAnsi="Arial" w:cs="Arial"/>
          <w:b/>
        </w:rPr>
      </w:pPr>
      <w:r>
        <w:rPr>
          <w:rFonts w:ascii="Arial" w:eastAsia="Arial" w:hAnsi="Arial" w:cs="Arial"/>
          <w:b/>
        </w:rPr>
        <w:t>Typowy przedział cenowy samego kotła [brutto 23% VAT]:</w:t>
      </w:r>
    </w:p>
    <w:p w:rsidR="002D5AE3" w:rsidRDefault="00683D0D">
      <w:pPr>
        <w:spacing w:after="0" w:line="276" w:lineRule="auto"/>
        <w:rPr>
          <w:rFonts w:ascii="Arial" w:eastAsia="Arial" w:hAnsi="Arial" w:cs="Arial"/>
        </w:rPr>
      </w:pPr>
      <w:r>
        <w:rPr>
          <w:rFonts w:ascii="Arial" w:eastAsia="Arial" w:hAnsi="Arial" w:cs="Arial"/>
        </w:rPr>
        <w:t>6 999 - 18 600 zł</w:t>
      </w:r>
    </w:p>
    <w:p w:rsidR="002D5AE3" w:rsidRDefault="00683D0D">
      <w:pPr>
        <w:spacing w:after="0" w:line="276" w:lineRule="auto"/>
        <w:rPr>
          <w:rFonts w:ascii="Arial" w:eastAsia="Arial" w:hAnsi="Arial" w:cs="Arial"/>
          <w:b/>
        </w:rPr>
      </w:pPr>
      <w:r>
        <w:rPr>
          <w:rFonts w:ascii="Arial" w:eastAsia="Arial" w:hAnsi="Arial" w:cs="Arial"/>
          <w:b/>
        </w:rPr>
        <w:t xml:space="preserve">Szacowany typowy koszt wymiany kotła na </w:t>
      </w:r>
      <w:proofErr w:type="spellStart"/>
      <w:r>
        <w:rPr>
          <w:rFonts w:ascii="Arial" w:eastAsia="Arial" w:hAnsi="Arial" w:cs="Arial"/>
          <w:b/>
        </w:rPr>
        <w:t>pelet</w:t>
      </w:r>
      <w:proofErr w:type="spellEnd"/>
      <w:r>
        <w:rPr>
          <w:rFonts w:ascii="Arial" w:eastAsia="Arial" w:hAnsi="Arial" w:cs="Arial"/>
          <w:b/>
        </w:rPr>
        <w:t xml:space="preserve"> o mocy 20 kW wraz z niezbędnymi pracami modernizacyjnymi:</w:t>
      </w:r>
    </w:p>
    <w:p w:rsidR="002D5AE3" w:rsidRDefault="00683D0D">
      <w:pPr>
        <w:spacing w:after="0" w:line="276" w:lineRule="auto"/>
        <w:rPr>
          <w:rFonts w:ascii="Arial" w:eastAsia="Arial" w:hAnsi="Arial" w:cs="Arial"/>
        </w:rPr>
      </w:pPr>
      <w:r>
        <w:rPr>
          <w:rFonts w:ascii="Arial" w:eastAsia="Arial" w:hAnsi="Arial" w:cs="Arial"/>
        </w:rPr>
        <w:t>22 377,60 zł brutto 8 % VAT</w:t>
      </w:r>
    </w:p>
    <w:p w:rsidR="002D5AE3" w:rsidRDefault="00683D0D">
      <w:pPr>
        <w:numPr>
          <w:ilvl w:val="0"/>
          <w:numId w:val="6"/>
        </w:numPr>
        <w:spacing w:after="0" w:line="276" w:lineRule="auto"/>
        <w:contextualSpacing/>
        <w:rPr>
          <w:rFonts w:ascii="Arial" w:eastAsia="Arial" w:hAnsi="Arial" w:cs="Arial"/>
        </w:rPr>
      </w:pPr>
      <w:r>
        <w:rPr>
          <w:rFonts w:ascii="Arial" w:eastAsia="Arial" w:hAnsi="Arial" w:cs="Arial"/>
        </w:rPr>
        <w:t>wraz ze wzrostem mocy kotła o 5 kW, koszt urządzenia wzrasta o 5 - 10 %</w:t>
      </w:r>
    </w:p>
    <w:p w:rsidR="002D5AE3" w:rsidRDefault="00683D0D">
      <w:pPr>
        <w:spacing w:after="0" w:line="276" w:lineRule="auto"/>
        <w:rPr>
          <w:rFonts w:ascii="Arial" w:eastAsia="Arial" w:hAnsi="Arial" w:cs="Arial"/>
        </w:rPr>
      </w:pPr>
      <w:r>
        <w:rPr>
          <w:noProof/>
        </w:rPr>
        <w:drawing>
          <wp:anchor distT="114300" distB="114300" distL="114300" distR="114300" simplePos="0" relativeHeight="251659264" behindDoc="0" locked="0" layoutInCell="1" hidden="0" allowOverlap="1">
            <wp:simplePos x="0" y="0"/>
            <wp:positionH relativeFrom="margin">
              <wp:posOffset>1</wp:posOffset>
            </wp:positionH>
            <wp:positionV relativeFrom="paragraph">
              <wp:posOffset>300038</wp:posOffset>
            </wp:positionV>
            <wp:extent cx="2115048" cy="1966913"/>
            <wp:effectExtent l="0" t="0" r="0" b="0"/>
            <wp:wrapSquare wrapText="bothSides" distT="114300" distB="114300" distL="114300" distR="114300"/>
            <wp:docPr id="8" name="image17.png" descr="Wykres"/>
            <wp:cNvGraphicFramePr/>
            <a:graphic xmlns:a="http://schemas.openxmlformats.org/drawingml/2006/main">
              <a:graphicData uri="http://schemas.openxmlformats.org/drawingml/2006/picture">
                <pic:pic xmlns:pic="http://schemas.openxmlformats.org/drawingml/2006/picture">
                  <pic:nvPicPr>
                    <pic:cNvPr id="0" name="image17.png" descr="Wykres"/>
                    <pic:cNvPicPr preferRelativeResize="0"/>
                  </pic:nvPicPr>
                  <pic:blipFill>
                    <a:blip r:embed="rId8"/>
                    <a:srcRect l="12873" t="10263" r="11264"/>
                    <a:stretch>
                      <a:fillRect/>
                    </a:stretch>
                  </pic:blipFill>
                  <pic:spPr>
                    <a:xfrm>
                      <a:off x="0" y="0"/>
                      <a:ext cx="2115048" cy="1966913"/>
                    </a:xfrm>
                    <a:prstGeom prst="rect">
                      <a:avLst/>
                    </a:prstGeom>
                    <a:ln/>
                  </pic:spPr>
                </pic:pic>
              </a:graphicData>
            </a:graphic>
          </wp:anchor>
        </w:drawing>
      </w: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683D0D">
      <w:pPr>
        <w:spacing w:after="0" w:line="276" w:lineRule="auto"/>
        <w:rPr>
          <w:rFonts w:ascii="Arial" w:eastAsia="Arial" w:hAnsi="Arial" w:cs="Arial"/>
        </w:rPr>
      </w:pPr>
      <w:r>
        <w:rPr>
          <w:noProof/>
        </w:rPr>
        <w:drawing>
          <wp:anchor distT="19050" distB="19050" distL="19050" distR="19050" simplePos="0" relativeHeight="251660288" behindDoc="0" locked="0" layoutInCell="1" hidden="0" allowOverlap="1">
            <wp:simplePos x="0" y="0"/>
            <wp:positionH relativeFrom="margin">
              <wp:posOffset>2628900</wp:posOffset>
            </wp:positionH>
            <wp:positionV relativeFrom="paragraph">
              <wp:posOffset>47625</wp:posOffset>
            </wp:positionV>
            <wp:extent cx="3375185" cy="954600"/>
            <wp:effectExtent l="0" t="0" r="0" b="0"/>
            <wp:wrapSquare wrapText="bothSides" distT="19050" distB="19050" distL="19050" distR="1905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9"/>
                    <a:srcRect/>
                    <a:stretch>
                      <a:fillRect/>
                    </a:stretch>
                  </pic:blipFill>
                  <pic:spPr>
                    <a:xfrm>
                      <a:off x="0" y="0"/>
                      <a:ext cx="3375185" cy="954600"/>
                    </a:xfrm>
                    <a:prstGeom prst="rect">
                      <a:avLst/>
                    </a:prstGeom>
                    <a:ln/>
                  </pic:spPr>
                </pic:pic>
              </a:graphicData>
            </a:graphic>
          </wp:anchor>
        </w:drawing>
      </w: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2D5AE3">
      <w:pPr>
        <w:spacing w:after="0" w:line="276" w:lineRule="auto"/>
        <w:rPr>
          <w:rFonts w:ascii="Arial" w:eastAsia="Arial" w:hAnsi="Arial" w:cs="Arial"/>
        </w:rPr>
      </w:pPr>
    </w:p>
    <w:p w:rsidR="002D5AE3" w:rsidRDefault="00683D0D">
      <w:pPr>
        <w:spacing w:after="0" w:line="276" w:lineRule="auto"/>
        <w:rPr>
          <w:rFonts w:ascii="Arial" w:eastAsia="Arial" w:hAnsi="Arial" w:cs="Arial"/>
          <w:b/>
        </w:rPr>
      </w:pPr>
      <w:r>
        <w:rPr>
          <w:rFonts w:ascii="Arial" w:eastAsia="Arial" w:hAnsi="Arial" w:cs="Arial"/>
          <w:b/>
        </w:rPr>
        <w:t>Szacowane koszty poniesione przez wnioskodawcę:     Szacowane koszty ogrzewania:</w:t>
      </w:r>
    </w:p>
    <w:p w:rsidR="002D5AE3" w:rsidRDefault="00683D0D">
      <w:pPr>
        <w:numPr>
          <w:ilvl w:val="0"/>
          <w:numId w:val="2"/>
        </w:numPr>
        <w:spacing w:after="0" w:line="276" w:lineRule="auto"/>
        <w:contextualSpacing/>
        <w:rPr>
          <w:rFonts w:ascii="Arial" w:eastAsia="Arial" w:hAnsi="Arial" w:cs="Arial"/>
        </w:rPr>
      </w:pPr>
      <w:r>
        <w:rPr>
          <w:rFonts w:ascii="Arial" w:eastAsia="Arial" w:hAnsi="Arial" w:cs="Arial"/>
        </w:rPr>
        <w:t>wkład do projektu: 3 108 zł</w:t>
      </w:r>
    </w:p>
    <w:p w:rsidR="002D5AE3" w:rsidRDefault="00683D0D">
      <w:pPr>
        <w:numPr>
          <w:ilvl w:val="0"/>
          <w:numId w:val="2"/>
        </w:numPr>
        <w:spacing w:after="0" w:line="276" w:lineRule="auto"/>
        <w:contextualSpacing/>
        <w:rPr>
          <w:rFonts w:ascii="Arial" w:eastAsia="Arial" w:hAnsi="Arial" w:cs="Arial"/>
        </w:rPr>
      </w:pPr>
      <w:r>
        <w:rPr>
          <w:rFonts w:ascii="Arial" w:eastAsia="Arial" w:hAnsi="Arial" w:cs="Arial"/>
        </w:rPr>
        <w:t>podatek VAT: 1657,60 zł</w:t>
      </w:r>
      <w:r>
        <w:rPr>
          <w:noProof/>
        </w:rPr>
        <w:drawing>
          <wp:anchor distT="19050" distB="19050" distL="19050" distR="19050" simplePos="0" relativeHeight="251661312" behindDoc="0" locked="0" layoutInCell="1" hidden="0" allowOverlap="1">
            <wp:simplePos x="0" y="0"/>
            <wp:positionH relativeFrom="margin">
              <wp:posOffset>3895725</wp:posOffset>
            </wp:positionH>
            <wp:positionV relativeFrom="paragraph">
              <wp:posOffset>47625</wp:posOffset>
            </wp:positionV>
            <wp:extent cx="1679175" cy="527338"/>
            <wp:effectExtent l="0" t="0" r="0" b="0"/>
            <wp:wrapSquare wrapText="bothSides" distT="19050" distB="19050" distL="19050" distR="19050"/>
            <wp:docPr id="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1679175" cy="527338"/>
                    </a:xfrm>
                    <a:prstGeom prst="rect">
                      <a:avLst/>
                    </a:prstGeom>
                    <a:ln/>
                  </pic:spPr>
                </pic:pic>
              </a:graphicData>
            </a:graphic>
          </wp:anchor>
        </w:drawing>
      </w:r>
    </w:p>
    <w:p w:rsidR="002D5AE3" w:rsidRDefault="00683D0D">
      <w:pPr>
        <w:numPr>
          <w:ilvl w:val="0"/>
          <w:numId w:val="2"/>
        </w:numPr>
        <w:spacing w:after="0" w:line="276" w:lineRule="auto"/>
        <w:contextualSpacing/>
        <w:rPr>
          <w:rFonts w:ascii="Arial" w:eastAsia="Arial" w:hAnsi="Arial" w:cs="Arial"/>
        </w:rPr>
      </w:pPr>
      <w:r>
        <w:rPr>
          <w:rFonts w:ascii="Arial" w:eastAsia="Arial" w:hAnsi="Arial" w:cs="Arial"/>
        </w:rPr>
        <w:t>łączny koszt:</w:t>
      </w:r>
      <w:r w:rsidR="00136A72">
        <w:rPr>
          <w:rFonts w:ascii="Arial" w:eastAsia="Arial" w:hAnsi="Arial" w:cs="Arial"/>
          <w:b/>
        </w:rPr>
        <w:t xml:space="preserve"> 4 765,6</w:t>
      </w:r>
      <w:bookmarkStart w:id="2" w:name="_GoBack"/>
      <w:bookmarkEnd w:id="2"/>
      <w:r>
        <w:rPr>
          <w:rFonts w:ascii="Arial" w:eastAsia="Arial" w:hAnsi="Arial" w:cs="Arial"/>
          <w:b/>
        </w:rPr>
        <w:t xml:space="preserve"> zł</w:t>
      </w:r>
    </w:p>
    <w:p w:rsidR="002D5AE3" w:rsidRDefault="002D5AE3">
      <w:pPr>
        <w:spacing w:after="0" w:line="276" w:lineRule="auto"/>
        <w:rPr>
          <w:rFonts w:ascii="Arial" w:eastAsia="Arial" w:hAnsi="Arial" w:cs="Arial"/>
          <w:b/>
        </w:rPr>
      </w:pPr>
    </w:p>
    <w:p w:rsidR="002D5AE3" w:rsidRDefault="00683D0D">
      <w:pPr>
        <w:spacing w:after="240" w:line="276" w:lineRule="auto"/>
        <w:rPr>
          <w:rFonts w:ascii="Arial" w:eastAsia="Arial" w:hAnsi="Arial" w:cs="Arial"/>
          <w:b/>
          <w:color w:val="383838"/>
          <w:sz w:val="21"/>
          <w:szCs w:val="21"/>
        </w:rPr>
      </w:pPr>
      <w:r>
        <w:rPr>
          <w:rFonts w:ascii="Arial" w:eastAsia="Arial" w:hAnsi="Arial" w:cs="Arial"/>
          <w:b/>
          <w:color w:val="383838"/>
          <w:sz w:val="21"/>
          <w:szCs w:val="21"/>
        </w:rPr>
        <w:t>Kotłownia na paliwo stałe</w:t>
      </w:r>
    </w:p>
    <w:p w:rsidR="002D5AE3" w:rsidRDefault="00683D0D">
      <w:pPr>
        <w:spacing w:after="240" w:line="276" w:lineRule="auto"/>
        <w:rPr>
          <w:rFonts w:ascii="Arial" w:eastAsia="Arial" w:hAnsi="Arial" w:cs="Arial"/>
          <w:color w:val="383838"/>
          <w:sz w:val="21"/>
          <w:szCs w:val="21"/>
        </w:rPr>
      </w:pPr>
      <w:r>
        <w:rPr>
          <w:rFonts w:ascii="Arial" w:eastAsia="Arial" w:hAnsi="Arial" w:cs="Arial"/>
          <w:color w:val="383838"/>
          <w:sz w:val="21"/>
          <w:szCs w:val="21"/>
        </w:rPr>
        <w:t>Kotłownie wbudowane na paliwo stałe powinny spełniać wymagania normy PN-87/B-02411 „Kotłownie wbudowane na paliwo stałe". Ze względu na moc cieplną zgodnie z tą normą kotłownie można podzielić następująco: kotłownie o mocy do 25 kW i kotłownie o mocy cieplnej powyżej 25 kW do 2 MW.</w:t>
      </w:r>
    </w:p>
    <w:p w:rsidR="002D5AE3" w:rsidRDefault="00683D0D">
      <w:pPr>
        <w:spacing w:after="240" w:line="276" w:lineRule="auto"/>
        <w:rPr>
          <w:rFonts w:ascii="Arial" w:eastAsia="Arial" w:hAnsi="Arial" w:cs="Arial"/>
          <w:b/>
          <w:color w:val="383838"/>
          <w:sz w:val="21"/>
          <w:szCs w:val="21"/>
        </w:rPr>
      </w:pPr>
      <w:r>
        <w:rPr>
          <w:rFonts w:ascii="Arial" w:eastAsia="Arial" w:hAnsi="Arial" w:cs="Arial"/>
          <w:b/>
          <w:color w:val="383838"/>
          <w:sz w:val="21"/>
          <w:szCs w:val="21"/>
        </w:rPr>
        <w:t>Dla małych kotłowni o mocy do 25 kW powinny być spełnione następujące wymagania:</w:t>
      </w:r>
    </w:p>
    <w:p w:rsidR="002D5AE3" w:rsidRDefault="00683D0D">
      <w:pPr>
        <w:numPr>
          <w:ilvl w:val="0"/>
          <w:numId w:val="5"/>
        </w:numPr>
        <w:spacing w:before="40" w:after="0" w:line="276" w:lineRule="auto"/>
        <w:contextualSpacing/>
        <w:rPr>
          <w:rFonts w:ascii="Arial" w:eastAsia="Arial" w:hAnsi="Arial" w:cs="Arial"/>
          <w:color w:val="383838"/>
          <w:sz w:val="21"/>
          <w:szCs w:val="21"/>
        </w:rPr>
      </w:pPr>
      <w:r>
        <w:rPr>
          <w:rFonts w:ascii="Arial" w:eastAsia="Arial" w:hAnsi="Arial" w:cs="Arial"/>
          <w:color w:val="383838"/>
          <w:sz w:val="21"/>
          <w:szCs w:val="21"/>
        </w:rPr>
        <w:t>kocioł powinien być umieszczony w wydzielonym pomieszczeniu, możliwie centralnie w stosunku ogrzewanych pomieszczeń,</w:t>
      </w:r>
    </w:p>
    <w:p w:rsidR="002D5AE3" w:rsidRDefault="00683D0D">
      <w:pPr>
        <w:numPr>
          <w:ilvl w:val="0"/>
          <w:numId w:val="5"/>
        </w:numPr>
        <w:spacing w:before="40" w:after="0" w:line="276" w:lineRule="auto"/>
        <w:contextualSpacing/>
        <w:rPr>
          <w:rFonts w:ascii="Arial" w:eastAsia="Arial" w:hAnsi="Arial" w:cs="Arial"/>
          <w:color w:val="383838"/>
          <w:sz w:val="21"/>
          <w:szCs w:val="21"/>
        </w:rPr>
      </w:pPr>
      <w:r>
        <w:rPr>
          <w:rFonts w:ascii="Arial" w:eastAsia="Arial" w:hAnsi="Arial" w:cs="Arial"/>
          <w:color w:val="383838"/>
          <w:sz w:val="21"/>
          <w:szCs w:val="21"/>
        </w:rPr>
        <w:t xml:space="preserve">podłoga w kotłowni powinna być wykonana z materiałów niepalnych lub obita blachą stalową grubości 0,7 mm na odległości minimum 0,5 m od krawędzi kotła. Kocioł powinien być umieszczony na fundamencie wykonanym z materiałów niepalnych, wystającym 0,05m ponad poziom podłogi i </w:t>
      </w:r>
      <w:proofErr w:type="spellStart"/>
      <w:r>
        <w:rPr>
          <w:rFonts w:ascii="Arial" w:eastAsia="Arial" w:hAnsi="Arial" w:cs="Arial"/>
          <w:color w:val="383838"/>
          <w:sz w:val="21"/>
          <w:szCs w:val="21"/>
        </w:rPr>
        <w:t>okrawędziowanym</w:t>
      </w:r>
      <w:proofErr w:type="spellEnd"/>
      <w:r>
        <w:rPr>
          <w:rFonts w:ascii="Arial" w:eastAsia="Arial" w:hAnsi="Arial" w:cs="Arial"/>
          <w:color w:val="383838"/>
          <w:sz w:val="21"/>
          <w:szCs w:val="21"/>
        </w:rPr>
        <w:t xml:space="preserve"> stalowymi kątownikami,</w:t>
      </w:r>
    </w:p>
    <w:p w:rsidR="002D5AE3" w:rsidRDefault="00683D0D">
      <w:pPr>
        <w:numPr>
          <w:ilvl w:val="0"/>
          <w:numId w:val="5"/>
        </w:numPr>
        <w:spacing w:before="40" w:after="0" w:line="276" w:lineRule="auto"/>
        <w:contextualSpacing/>
        <w:rPr>
          <w:rFonts w:ascii="Arial" w:eastAsia="Arial" w:hAnsi="Arial" w:cs="Arial"/>
          <w:color w:val="383838"/>
          <w:sz w:val="21"/>
          <w:szCs w:val="21"/>
        </w:rPr>
      </w:pPr>
      <w:r>
        <w:rPr>
          <w:rFonts w:ascii="Arial" w:eastAsia="Arial" w:hAnsi="Arial" w:cs="Arial"/>
          <w:color w:val="383838"/>
          <w:sz w:val="21"/>
          <w:szCs w:val="21"/>
        </w:rPr>
        <w:t>pomieszczenie, w którym znajduje się kocioł powinno mieć oświetlenie sztuczne. Zalecane jest również oświetlenie naturalne,</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odległość kotła od przegród pomieszczenia kotłowni powinna umożliwić swobodny dostęp do kotła w czasie czyszczenia i konserwacji. Odległość tyłu kotła od ściany nie powinna być mniejsza niż 0,7 m, boku kotła od ściany nie mniejsza niż 1,0 m, natomiast przodu kotła od ściany przeciwległej nie mniejsza niż 2,0 m,</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wysokość pomieszczenia kotłowni powinna wynosić co najmniej 2,2, m. W istniejących budynkach dopuszcza się wysokość pomieszczenia kotłowni minimum 1,9 m przy zapewnionej poprawnej wentylacji (</w:t>
      </w:r>
      <w:proofErr w:type="spellStart"/>
      <w:r>
        <w:rPr>
          <w:rFonts w:ascii="Arial" w:eastAsia="Arial" w:hAnsi="Arial" w:cs="Arial"/>
          <w:color w:val="383838"/>
          <w:sz w:val="21"/>
          <w:szCs w:val="21"/>
        </w:rPr>
        <w:t>nawiewno</w:t>
      </w:r>
      <w:proofErr w:type="spellEnd"/>
      <w:r>
        <w:rPr>
          <w:rFonts w:ascii="Arial" w:eastAsia="Arial" w:hAnsi="Arial" w:cs="Arial"/>
          <w:color w:val="383838"/>
          <w:sz w:val="21"/>
          <w:szCs w:val="21"/>
        </w:rPr>
        <w:t xml:space="preserve"> – wywiewnej),</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 xml:space="preserve">wentylacja nawiewna powinna odbywać się za pomocą </w:t>
      </w:r>
      <w:proofErr w:type="spellStart"/>
      <w:r>
        <w:rPr>
          <w:rFonts w:ascii="Arial" w:eastAsia="Arial" w:hAnsi="Arial" w:cs="Arial"/>
          <w:color w:val="383838"/>
          <w:sz w:val="21"/>
          <w:szCs w:val="21"/>
        </w:rPr>
        <w:t>niezamykalnego</w:t>
      </w:r>
      <w:proofErr w:type="spellEnd"/>
      <w:r>
        <w:rPr>
          <w:rFonts w:ascii="Arial" w:eastAsia="Arial" w:hAnsi="Arial" w:cs="Arial"/>
          <w:color w:val="383838"/>
          <w:sz w:val="21"/>
          <w:szCs w:val="21"/>
        </w:rPr>
        <w:t xml:space="preserve"> otworu o przekroju minimum 200cm2 o wylocie do 1,0 m nad poziomem podłogi. Wentylacja wywiewna powinna być realizowana kanałem wywiewnym z materiału niepalnego o przekroju minimalnym 14 x 14 cm z otworem wlotowym pod stropem pomieszczenia kotłowni. Kanał wywiewny powinien być wyprowadzony ponad dach i umieszczony w pobliżu komina. Na kanale wywiewnym nie należy lokalizować urządzeń do zamykania,</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przekrój komina powinien być nie mniejszy niż 20 x 20 cm,</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w podłodze pomieszczenia kotłowni powinien znajdować się wpust podłogowy,</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w pobliżu pomieszczenia kotłowni powinien znajdować się skład paliwa najlepiej w wydzielonym pomieszczeniu. Powierzchnia składu opału powinna być taka, aby można zgromadzić opał na cały sezon grzewczy,</w:t>
      </w:r>
    </w:p>
    <w:p w:rsidR="002D5AE3" w:rsidRDefault="00683D0D">
      <w:pPr>
        <w:numPr>
          <w:ilvl w:val="0"/>
          <w:numId w:val="5"/>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popiół i żużel należy gromadzić w metalowych pojemnikach, które powinny być codziennie opróżniane.</w:t>
      </w:r>
    </w:p>
    <w:p w:rsidR="002D5AE3" w:rsidRDefault="002D5AE3">
      <w:pPr>
        <w:spacing w:after="240" w:line="276" w:lineRule="auto"/>
        <w:rPr>
          <w:rFonts w:ascii="Arial" w:eastAsia="Arial" w:hAnsi="Arial" w:cs="Arial"/>
          <w:color w:val="383838"/>
          <w:sz w:val="21"/>
          <w:szCs w:val="21"/>
        </w:rPr>
      </w:pPr>
    </w:p>
    <w:p w:rsidR="002D5AE3" w:rsidRDefault="00683D0D">
      <w:pPr>
        <w:spacing w:after="240" w:line="276" w:lineRule="auto"/>
        <w:rPr>
          <w:rFonts w:ascii="Arial" w:eastAsia="Arial" w:hAnsi="Arial" w:cs="Arial"/>
          <w:b/>
          <w:color w:val="383838"/>
          <w:sz w:val="21"/>
          <w:szCs w:val="21"/>
        </w:rPr>
      </w:pPr>
      <w:r>
        <w:rPr>
          <w:rFonts w:ascii="Arial" w:eastAsia="Arial" w:hAnsi="Arial" w:cs="Arial"/>
          <w:b/>
          <w:color w:val="383838"/>
          <w:sz w:val="21"/>
          <w:szCs w:val="21"/>
        </w:rPr>
        <w:lastRenderedPageBreak/>
        <w:t>Kotłownie o mocy cieplnej od 25 kW</w:t>
      </w:r>
      <w:r>
        <w:rPr>
          <w:rFonts w:ascii="Arial" w:eastAsia="Arial" w:hAnsi="Arial" w:cs="Arial"/>
          <w:color w:val="383838"/>
          <w:sz w:val="21"/>
          <w:szCs w:val="21"/>
        </w:rPr>
        <w:t xml:space="preserve"> </w:t>
      </w:r>
      <w:r>
        <w:rPr>
          <w:rFonts w:ascii="Arial" w:eastAsia="Arial" w:hAnsi="Arial" w:cs="Arial"/>
          <w:b/>
          <w:color w:val="383838"/>
          <w:sz w:val="21"/>
          <w:szCs w:val="21"/>
        </w:rPr>
        <w:t>powinny spełniać dodatkowo następujące wymagania:</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odległość kotła najbardziej oddalonego od komina, przy ciągu grawitacyjnym, nie może przekraczać 0,5 wysokości komina,</w:t>
      </w:r>
    </w:p>
    <w:p w:rsidR="002D5AE3" w:rsidRDefault="00683D0D">
      <w:pPr>
        <w:numPr>
          <w:ilvl w:val="0"/>
          <w:numId w:val="4"/>
        </w:numPr>
        <w:spacing w:after="0" w:line="276" w:lineRule="auto"/>
        <w:contextualSpacing/>
        <w:rPr>
          <w:rFonts w:ascii="Arial" w:eastAsia="Arial" w:hAnsi="Arial" w:cs="Arial"/>
          <w:color w:val="383838"/>
        </w:rPr>
      </w:pPr>
      <w:r>
        <w:rPr>
          <w:rFonts w:ascii="Arial" w:eastAsia="Arial" w:hAnsi="Arial" w:cs="Arial"/>
          <w:color w:val="383838"/>
          <w:sz w:val="20"/>
          <w:szCs w:val="20"/>
        </w:rPr>
        <w:t xml:space="preserve"> </w:t>
      </w:r>
      <w:r>
        <w:rPr>
          <w:rFonts w:ascii="Arial" w:eastAsia="Arial" w:hAnsi="Arial" w:cs="Arial"/>
          <w:color w:val="383838"/>
          <w:sz w:val="21"/>
          <w:szCs w:val="21"/>
        </w:rPr>
        <w:t>skład paliwa i skład żużla powinny być zlokalizowane przy hali kotłów. Wysokość składowania paliwa do 2,2 m z wolną przestrzenią nad paliwem minimum 0,5 m,</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należy przewidzieć urządzenia i sprzęt do pionowego i poziomego transportu paliwa i żużla,</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pomieszczenia składu paliwa i składu żużla powinny mieć zapewnioną wentylację naturalną wywiewną w wielkości jednej wymiany powietrza na godzinę w składzie paliwa i trzykrotnej wymiany powietrza w składzie żużla,</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 xml:space="preserve">drzwi wejściowe do kotłowni powinny być niepalne klasy 0,5 odporności ogniowej, szerokość minimalna 0,8 m, otwierane na zewnątrz. Drzwi od wewnątrz powinny mieć zamknięcie </w:t>
      </w:r>
      <w:proofErr w:type="spellStart"/>
      <w:r>
        <w:rPr>
          <w:rFonts w:ascii="Arial" w:eastAsia="Arial" w:hAnsi="Arial" w:cs="Arial"/>
          <w:color w:val="383838"/>
          <w:sz w:val="21"/>
          <w:szCs w:val="21"/>
        </w:rPr>
        <w:t>bezklamkowe</w:t>
      </w:r>
      <w:proofErr w:type="spellEnd"/>
      <w:r>
        <w:rPr>
          <w:rFonts w:ascii="Arial" w:eastAsia="Arial" w:hAnsi="Arial" w:cs="Arial"/>
          <w:color w:val="383838"/>
          <w:sz w:val="21"/>
          <w:szCs w:val="21"/>
        </w:rPr>
        <w:t xml:space="preserve"> i otwierać się na zewnątrz pod naciskiem człowieka,</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drzwi z kotłowni do składu paliwa powinny być stalowe lub drewniane obite blachą, otwierane do kotłowni,</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kotłownia powinna mieć oświetlenie naturalne od przodu kotła. Powierzchnia okien powinna wynosić minimum 1/15 powierzchni podłogi kotłowni, przy czym połowa okien powinna być otwieranych. Poza tym należy zapewnić oświetlenie elektryczne oraz jedno gniazdo elektryczne o napięciu nie przekraczającym 24 V,</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w podłodze kotłowni należy wykonać studzienkę kanalizacyjną umożliwiającą schłodzenie wody, której pojemność powinna być równa pojemności wodnej największego kotła, jednak nie większa niż 2 m3,</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pompy mechaniczne powinny być lokalizowane w oddzielnym pomieszczeniu, z wyjątkiem pomp przewodowych, które mogą być montowane bezpośrednio w kotłowni. W pomieszczeniu z pompami przegrody powinny mieć izolację przeciwdźwiękową, jeżeli nie są instalowane pompy cichobieżne,</w:t>
      </w:r>
    </w:p>
    <w:p w:rsidR="002D5AE3" w:rsidRDefault="00683D0D">
      <w:pPr>
        <w:numPr>
          <w:ilvl w:val="0"/>
          <w:numId w:val="4"/>
        </w:numPr>
        <w:spacing w:after="0" w:line="276" w:lineRule="auto"/>
        <w:contextualSpacing/>
        <w:rPr>
          <w:rFonts w:ascii="Arial" w:eastAsia="Arial" w:hAnsi="Arial" w:cs="Arial"/>
          <w:color w:val="383838"/>
          <w:sz w:val="21"/>
          <w:szCs w:val="21"/>
        </w:rPr>
      </w:pPr>
      <w:r>
        <w:rPr>
          <w:rFonts w:ascii="Arial" w:eastAsia="Arial" w:hAnsi="Arial" w:cs="Arial"/>
          <w:color w:val="383838"/>
          <w:sz w:val="21"/>
          <w:szCs w:val="21"/>
        </w:rPr>
        <w:t>przewody cieplne w pomieszczeniu kotłowni powinny być izolowane,</w:t>
      </w:r>
    </w:p>
    <w:p w:rsidR="002D5AE3" w:rsidRDefault="00683D0D">
      <w:pPr>
        <w:numPr>
          <w:ilvl w:val="0"/>
          <w:numId w:val="4"/>
        </w:numPr>
        <w:spacing w:before="40" w:after="0" w:line="276" w:lineRule="auto"/>
        <w:contextualSpacing/>
        <w:rPr>
          <w:rFonts w:ascii="Arial" w:eastAsia="Arial" w:hAnsi="Arial" w:cs="Arial"/>
          <w:color w:val="383838"/>
          <w:sz w:val="21"/>
          <w:szCs w:val="21"/>
        </w:rPr>
      </w:pPr>
      <w:r>
        <w:rPr>
          <w:rFonts w:ascii="Arial" w:eastAsia="Arial" w:hAnsi="Arial" w:cs="Arial"/>
          <w:color w:val="383838"/>
          <w:sz w:val="21"/>
          <w:szCs w:val="21"/>
        </w:rPr>
        <w:t>wyposażenie dodatkowe powinna stanowić pompa ręczna o średnicy minimum 32 mm oraz termometr osłonięty przed działaniem słońca i opadów umieszczony na zewnętrznej ścianie kotłowni.</w:t>
      </w:r>
    </w:p>
    <w:p w:rsidR="002D5AE3" w:rsidRDefault="002D5AE3">
      <w:pPr>
        <w:spacing w:after="0" w:line="276" w:lineRule="auto"/>
        <w:rPr>
          <w:rFonts w:ascii="Arial" w:eastAsia="Arial" w:hAnsi="Arial" w:cs="Arial"/>
          <w:color w:val="383838"/>
          <w:sz w:val="21"/>
          <w:szCs w:val="21"/>
        </w:rPr>
      </w:pPr>
    </w:p>
    <w:p w:rsidR="002D5AE3" w:rsidRDefault="002D5AE3">
      <w:pPr>
        <w:spacing w:after="0" w:line="276" w:lineRule="auto"/>
        <w:rPr>
          <w:rFonts w:ascii="Arial" w:eastAsia="Arial" w:hAnsi="Arial" w:cs="Arial"/>
          <w:color w:val="383838"/>
          <w:sz w:val="21"/>
          <w:szCs w:val="21"/>
        </w:rPr>
      </w:pPr>
    </w:p>
    <w:p w:rsidR="002D5AE3" w:rsidRDefault="002D5AE3">
      <w:pPr>
        <w:spacing w:after="0" w:line="276" w:lineRule="auto"/>
        <w:rPr>
          <w:rFonts w:ascii="Arial" w:eastAsia="Arial" w:hAnsi="Arial" w:cs="Arial"/>
          <w:color w:val="383838"/>
          <w:sz w:val="21"/>
          <w:szCs w:val="21"/>
        </w:rPr>
      </w:pPr>
    </w:p>
    <w:p w:rsidR="002D5AE3" w:rsidRDefault="002D5AE3">
      <w:pPr>
        <w:spacing w:after="0" w:line="276" w:lineRule="auto"/>
        <w:rPr>
          <w:rFonts w:ascii="Arial" w:eastAsia="Arial" w:hAnsi="Arial" w:cs="Arial"/>
          <w:color w:val="383838"/>
          <w:sz w:val="21"/>
          <w:szCs w:val="21"/>
        </w:rPr>
      </w:pPr>
    </w:p>
    <w:p w:rsidR="002D5AE3" w:rsidRDefault="00683D0D">
      <w:pPr>
        <w:spacing w:after="0" w:line="276" w:lineRule="auto"/>
        <w:rPr>
          <w:rFonts w:ascii="Arial" w:eastAsia="Arial" w:hAnsi="Arial" w:cs="Arial"/>
          <w:b/>
          <w:color w:val="383838"/>
          <w:sz w:val="21"/>
          <w:szCs w:val="21"/>
        </w:rPr>
      </w:pPr>
      <w:r>
        <w:rPr>
          <w:rFonts w:ascii="Arial" w:eastAsia="Arial" w:hAnsi="Arial" w:cs="Arial"/>
          <w:b/>
          <w:color w:val="383838"/>
          <w:sz w:val="21"/>
          <w:szCs w:val="21"/>
        </w:rPr>
        <w:t>Powierzchnia składu paliwa stałego i żużla</w:t>
      </w:r>
    </w:p>
    <w:p w:rsidR="002D5AE3" w:rsidRDefault="002D5AE3">
      <w:pPr>
        <w:spacing w:after="0" w:line="276" w:lineRule="auto"/>
        <w:rPr>
          <w:rFonts w:ascii="Arial" w:eastAsia="Arial" w:hAnsi="Arial" w:cs="Arial"/>
          <w:b/>
          <w:color w:val="383838"/>
          <w:sz w:val="21"/>
          <w:szCs w:val="21"/>
        </w:rPr>
      </w:pPr>
    </w:p>
    <w:p w:rsidR="002D5AE3" w:rsidRDefault="00683D0D">
      <w:pPr>
        <w:spacing w:after="0" w:line="276" w:lineRule="auto"/>
        <w:rPr>
          <w:rFonts w:ascii="Arial" w:eastAsia="Arial" w:hAnsi="Arial" w:cs="Arial"/>
          <w:color w:val="383838"/>
          <w:sz w:val="21"/>
          <w:szCs w:val="21"/>
        </w:rPr>
      </w:pPr>
      <w:r>
        <w:rPr>
          <w:rFonts w:ascii="Arial" w:eastAsia="Arial" w:hAnsi="Arial" w:cs="Arial"/>
          <w:color w:val="383838"/>
          <w:sz w:val="21"/>
          <w:szCs w:val="21"/>
        </w:rPr>
        <w:t xml:space="preserve">Powierzchnia składu paliwa zależy od zapotrzebowania kotłowni na paliwo, które wynika przede wszystkim z rocznego zapotrzebowania na ciepło budynku, wartości opałowej paliwa oraz sprawności całkowitej systemu ogrzewania. Powierzchnia </w:t>
      </w:r>
      <w:r>
        <w:rPr>
          <w:rFonts w:ascii="Arial" w:eastAsia="Arial" w:hAnsi="Arial" w:cs="Arial"/>
          <w:b/>
          <w:color w:val="383838"/>
          <w:sz w:val="21"/>
          <w:szCs w:val="21"/>
        </w:rPr>
        <w:t>składu paliwa</w:t>
      </w:r>
      <w:r>
        <w:rPr>
          <w:rFonts w:ascii="Arial" w:eastAsia="Arial" w:hAnsi="Arial" w:cs="Arial"/>
          <w:color w:val="383838"/>
          <w:sz w:val="21"/>
          <w:szCs w:val="21"/>
        </w:rPr>
        <w:t xml:space="preserve"> dla kotłowni wbudowanych może być obliczona z następującego wzoru:</w:t>
      </w:r>
    </w:p>
    <w:p w:rsidR="002D5AE3" w:rsidRDefault="00683D0D">
      <w:pPr>
        <w:spacing w:after="0" w:line="276" w:lineRule="auto"/>
        <w:rPr>
          <w:rFonts w:ascii="Arial" w:eastAsia="Arial" w:hAnsi="Arial" w:cs="Arial"/>
          <w:color w:val="383838"/>
          <w:sz w:val="21"/>
          <w:szCs w:val="21"/>
        </w:rPr>
      </w:pPr>
      <w:r>
        <w:rPr>
          <w:rFonts w:ascii="Arial" w:eastAsia="Arial" w:hAnsi="Arial" w:cs="Arial"/>
          <w:noProof/>
          <w:color w:val="383838"/>
          <w:sz w:val="21"/>
          <w:szCs w:val="21"/>
        </w:rPr>
        <w:drawing>
          <wp:inline distT="114300" distB="114300" distL="114300" distR="114300">
            <wp:extent cx="1362075" cy="447675"/>
            <wp:effectExtent l="0" t="0" r="0" b="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1362075" cy="447675"/>
                    </a:xfrm>
                    <a:prstGeom prst="rect">
                      <a:avLst/>
                    </a:prstGeom>
                    <a:ln/>
                  </pic:spPr>
                </pic:pic>
              </a:graphicData>
            </a:graphic>
          </wp:inline>
        </w:drawing>
      </w:r>
    </w:p>
    <w:p w:rsidR="002D5AE3" w:rsidRDefault="002D5AE3">
      <w:pPr>
        <w:spacing w:after="0" w:line="276" w:lineRule="auto"/>
        <w:rPr>
          <w:rFonts w:ascii="Arial" w:eastAsia="Arial" w:hAnsi="Arial" w:cs="Arial"/>
          <w:color w:val="383838"/>
          <w:sz w:val="21"/>
          <w:szCs w:val="21"/>
        </w:rPr>
      </w:pPr>
    </w:p>
    <w:p w:rsidR="002D5AE3" w:rsidRDefault="00683D0D">
      <w:pPr>
        <w:spacing w:after="0" w:line="276" w:lineRule="auto"/>
        <w:rPr>
          <w:rFonts w:ascii="Arial" w:eastAsia="Arial" w:hAnsi="Arial" w:cs="Arial"/>
          <w:color w:val="383838"/>
          <w:sz w:val="21"/>
          <w:szCs w:val="21"/>
        </w:rPr>
      </w:pPr>
      <w:r>
        <w:rPr>
          <w:rFonts w:ascii="Arial" w:eastAsia="Arial" w:hAnsi="Arial" w:cs="Arial"/>
          <w:color w:val="383838"/>
          <w:sz w:val="21"/>
          <w:szCs w:val="21"/>
        </w:rPr>
        <w:t>w którym:</w:t>
      </w:r>
    </w:p>
    <w:p w:rsidR="002D5AE3" w:rsidRDefault="002D5AE3">
      <w:pPr>
        <w:spacing w:after="0" w:line="276" w:lineRule="auto"/>
        <w:rPr>
          <w:rFonts w:ascii="Arial" w:eastAsia="Arial" w:hAnsi="Arial" w:cs="Arial"/>
          <w:color w:val="383838"/>
          <w:sz w:val="21"/>
          <w:szCs w:val="21"/>
        </w:rPr>
      </w:pP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B</w:t>
      </w:r>
      <w:r>
        <w:rPr>
          <w:rFonts w:ascii="Arial" w:eastAsia="Arial" w:hAnsi="Arial" w:cs="Arial"/>
          <w:color w:val="383838"/>
          <w:sz w:val="21"/>
          <w:szCs w:val="21"/>
        </w:rPr>
        <w:t xml:space="preserve"> - ilość magazynowanego paliwa, [kg],</w:t>
      </w:r>
    </w:p>
    <w:p w:rsidR="002D5AE3" w:rsidRDefault="00683D0D">
      <w:pPr>
        <w:spacing w:after="0" w:line="276" w:lineRule="auto"/>
        <w:rPr>
          <w:rFonts w:ascii="Arial" w:eastAsia="Arial" w:hAnsi="Arial" w:cs="Arial"/>
          <w:color w:val="383838"/>
          <w:sz w:val="21"/>
          <w:szCs w:val="21"/>
        </w:rPr>
      </w:pPr>
      <w:proofErr w:type="spellStart"/>
      <w:r>
        <w:rPr>
          <w:rFonts w:ascii="Arial" w:eastAsia="Arial" w:hAnsi="Arial" w:cs="Arial"/>
          <w:b/>
          <w:color w:val="383838"/>
          <w:sz w:val="21"/>
          <w:szCs w:val="21"/>
        </w:rPr>
        <w:lastRenderedPageBreak/>
        <w:t>Pp</w:t>
      </w:r>
      <w:proofErr w:type="spellEnd"/>
      <w:r>
        <w:rPr>
          <w:rFonts w:ascii="Arial" w:eastAsia="Arial" w:hAnsi="Arial" w:cs="Arial"/>
          <w:color w:val="383838"/>
          <w:sz w:val="21"/>
          <w:szCs w:val="21"/>
        </w:rPr>
        <w:t xml:space="preserve"> - gęstość nasypowa magazynowanego paliwa, [kg/m3],</w:t>
      </w: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h</w:t>
      </w:r>
      <w:r>
        <w:rPr>
          <w:rFonts w:ascii="Arial" w:eastAsia="Arial" w:hAnsi="Arial" w:cs="Arial"/>
          <w:color w:val="383838"/>
          <w:sz w:val="21"/>
          <w:szCs w:val="21"/>
        </w:rPr>
        <w:t xml:space="preserve"> - wysokość warstwy magazynowanego paliwa, która zależy od rodzaju paliwa, [m].</w:t>
      </w:r>
    </w:p>
    <w:p w:rsidR="002D5AE3" w:rsidRDefault="00683D0D">
      <w:pPr>
        <w:spacing w:after="0" w:line="276" w:lineRule="auto"/>
        <w:rPr>
          <w:rFonts w:ascii="Arial" w:eastAsia="Arial" w:hAnsi="Arial" w:cs="Arial"/>
          <w:color w:val="383838"/>
          <w:sz w:val="21"/>
          <w:szCs w:val="21"/>
        </w:rPr>
      </w:pPr>
      <w:r>
        <w:rPr>
          <w:rFonts w:ascii="Arial" w:eastAsia="Arial" w:hAnsi="Arial" w:cs="Arial"/>
          <w:color w:val="383838"/>
          <w:sz w:val="21"/>
          <w:szCs w:val="21"/>
        </w:rPr>
        <w:t>Wartość h = 1,6 - 2,0 m</w:t>
      </w: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a</w:t>
      </w:r>
      <w:r>
        <w:rPr>
          <w:rFonts w:ascii="Arial" w:eastAsia="Arial" w:hAnsi="Arial" w:cs="Arial"/>
          <w:color w:val="383838"/>
          <w:sz w:val="21"/>
          <w:szCs w:val="21"/>
        </w:rPr>
        <w:t xml:space="preserve"> - dodatek na komunikację 0,15 - 0,25 (zaleca się 0,25)</w:t>
      </w:r>
    </w:p>
    <w:p w:rsidR="002D5AE3" w:rsidRDefault="002D5AE3">
      <w:pPr>
        <w:spacing w:after="0" w:line="276" w:lineRule="auto"/>
        <w:rPr>
          <w:rFonts w:ascii="Arial" w:eastAsia="Arial" w:hAnsi="Arial" w:cs="Arial"/>
          <w:color w:val="383838"/>
          <w:sz w:val="21"/>
          <w:szCs w:val="21"/>
        </w:rPr>
      </w:pPr>
    </w:p>
    <w:p w:rsidR="002D5AE3" w:rsidRDefault="00683D0D">
      <w:pPr>
        <w:spacing w:after="0" w:line="276" w:lineRule="auto"/>
        <w:rPr>
          <w:rFonts w:ascii="Arial" w:eastAsia="Arial" w:hAnsi="Arial" w:cs="Arial"/>
          <w:color w:val="383838"/>
          <w:sz w:val="21"/>
          <w:szCs w:val="21"/>
        </w:rPr>
      </w:pPr>
      <w:r>
        <w:rPr>
          <w:rFonts w:ascii="Arial" w:eastAsia="Arial" w:hAnsi="Arial" w:cs="Arial"/>
          <w:color w:val="383838"/>
          <w:sz w:val="21"/>
          <w:szCs w:val="21"/>
        </w:rPr>
        <w:t xml:space="preserve">Powierzchnia </w:t>
      </w:r>
      <w:r>
        <w:rPr>
          <w:rFonts w:ascii="Arial" w:eastAsia="Arial" w:hAnsi="Arial" w:cs="Arial"/>
          <w:b/>
          <w:color w:val="383838"/>
          <w:sz w:val="21"/>
          <w:szCs w:val="21"/>
        </w:rPr>
        <w:t>składu żużla</w:t>
      </w:r>
      <w:r>
        <w:rPr>
          <w:rFonts w:ascii="Arial" w:eastAsia="Arial" w:hAnsi="Arial" w:cs="Arial"/>
          <w:color w:val="383838"/>
          <w:sz w:val="21"/>
          <w:szCs w:val="21"/>
        </w:rPr>
        <w:t xml:space="preserve"> może być obliczana zgodnie z wzorem:</w:t>
      </w:r>
    </w:p>
    <w:p w:rsidR="002D5AE3" w:rsidRDefault="00683D0D">
      <w:pPr>
        <w:spacing w:after="0" w:line="276" w:lineRule="auto"/>
        <w:rPr>
          <w:rFonts w:ascii="Arial" w:eastAsia="Arial" w:hAnsi="Arial" w:cs="Arial"/>
          <w:color w:val="383838"/>
          <w:sz w:val="21"/>
          <w:szCs w:val="21"/>
        </w:rPr>
      </w:pPr>
      <w:r>
        <w:rPr>
          <w:rFonts w:ascii="Arial" w:eastAsia="Arial" w:hAnsi="Arial" w:cs="Arial"/>
          <w:noProof/>
          <w:color w:val="383838"/>
          <w:sz w:val="21"/>
          <w:szCs w:val="21"/>
        </w:rPr>
        <w:drawing>
          <wp:inline distT="114300" distB="114300" distL="114300" distR="114300">
            <wp:extent cx="1314450" cy="533400"/>
            <wp:effectExtent l="0" t="0" r="0" b="0"/>
            <wp:docPr id="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2"/>
                    <a:srcRect/>
                    <a:stretch>
                      <a:fillRect/>
                    </a:stretch>
                  </pic:blipFill>
                  <pic:spPr>
                    <a:xfrm>
                      <a:off x="0" y="0"/>
                      <a:ext cx="1314450" cy="533400"/>
                    </a:xfrm>
                    <a:prstGeom prst="rect">
                      <a:avLst/>
                    </a:prstGeom>
                    <a:ln/>
                  </pic:spPr>
                </pic:pic>
              </a:graphicData>
            </a:graphic>
          </wp:inline>
        </w:drawing>
      </w:r>
    </w:p>
    <w:p w:rsidR="002D5AE3" w:rsidRDefault="00683D0D">
      <w:pPr>
        <w:spacing w:after="0" w:line="276" w:lineRule="auto"/>
        <w:rPr>
          <w:rFonts w:ascii="Arial" w:eastAsia="Arial" w:hAnsi="Arial" w:cs="Arial"/>
          <w:color w:val="383838"/>
          <w:sz w:val="21"/>
          <w:szCs w:val="21"/>
        </w:rPr>
      </w:pPr>
      <w:r>
        <w:rPr>
          <w:rFonts w:ascii="Arial" w:eastAsia="Arial" w:hAnsi="Arial" w:cs="Arial"/>
          <w:color w:val="383838"/>
          <w:sz w:val="21"/>
          <w:szCs w:val="21"/>
        </w:rPr>
        <w:t>w którym:</w:t>
      </w:r>
    </w:p>
    <w:p w:rsidR="002D5AE3" w:rsidRDefault="002D5AE3">
      <w:pPr>
        <w:spacing w:after="0" w:line="276" w:lineRule="auto"/>
        <w:rPr>
          <w:rFonts w:ascii="Arial" w:eastAsia="Arial" w:hAnsi="Arial" w:cs="Arial"/>
          <w:color w:val="383838"/>
          <w:sz w:val="21"/>
          <w:szCs w:val="21"/>
        </w:rPr>
      </w:pPr>
    </w:p>
    <w:p w:rsidR="002D5AE3" w:rsidRDefault="00683D0D">
      <w:pPr>
        <w:spacing w:after="0" w:line="276" w:lineRule="auto"/>
        <w:rPr>
          <w:rFonts w:ascii="Arial" w:eastAsia="Arial" w:hAnsi="Arial" w:cs="Arial"/>
          <w:color w:val="383838"/>
          <w:sz w:val="21"/>
          <w:szCs w:val="21"/>
        </w:rPr>
      </w:pPr>
      <w:proofErr w:type="spellStart"/>
      <w:r>
        <w:rPr>
          <w:rFonts w:ascii="Arial" w:eastAsia="Arial" w:hAnsi="Arial" w:cs="Arial"/>
          <w:b/>
          <w:color w:val="383838"/>
          <w:sz w:val="21"/>
          <w:szCs w:val="21"/>
        </w:rPr>
        <w:t>Bż</w:t>
      </w:r>
      <w:proofErr w:type="spellEnd"/>
      <w:r>
        <w:rPr>
          <w:rFonts w:ascii="Arial" w:eastAsia="Arial" w:hAnsi="Arial" w:cs="Arial"/>
          <w:color w:val="383838"/>
          <w:sz w:val="21"/>
          <w:szCs w:val="21"/>
        </w:rPr>
        <w:t xml:space="preserve"> - masa gromadzonego żużla. B; = 0,007 * B * n * A, [kg],</w:t>
      </w: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B</w:t>
      </w:r>
      <w:r>
        <w:rPr>
          <w:rFonts w:ascii="Arial" w:eastAsia="Arial" w:hAnsi="Arial" w:cs="Arial"/>
          <w:color w:val="383838"/>
          <w:sz w:val="21"/>
          <w:szCs w:val="21"/>
        </w:rPr>
        <w:t xml:space="preserve"> - ilość paliwa, [kg],</w:t>
      </w: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h</w:t>
      </w:r>
      <w:r>
        <w:rPr>
          <w:rFonts w:ascii="Arial" w:eastAsia="Arial" w:hAnsi="Arial" w:cs="Arial"/>
          <w:color w:val="383838"/>
          <w:sz w:val="21"/>
          <w:szCs w:val="21"/>
        </w:rPr>
        <w:t xml:space="preserve"> - warstwa składowania, [m], wartość h ź 1,2 m,</w:t>
      </w:r>
    </w:p>
    <w:p w:rsidR="002D5AE3" w:rsidRDefault="00683D0D">
      <w:pPr>
        <w:spacing w:after="0" w:line="276" w:lineRule="auto"/>
        <w:rPr>
          <w:rFonts w:ascii="Arial" w:eastAsia="Arial" w:hAnsi="Arial" w:cs="Arial"/>
          <w:color w:val="383838"/>
          <w:sz w:val="21"/>
          <w:szCs w:val="21"/>
        </w:rPr>
      </w:pPr>
      <w:r>
        <w:rPr>
          <w:rFonts w:ascii="Arial" w:eastAsia="Arial" w:hAnsi="Arial" w:cs="Arial"/>
          <w:b/>
          <w:color w:val="383838"/>
          <w:sz w:val="21"/>
          <w:szCs w:val="21"/>
        </w:rPr>
        <w:t xml:space="preserve">A </w:t>
      </w:r>
      <w:r>
        <w:rPr>
          <w:rFonts w:ascii="Arial" w:eastAsia="Arial" w:hAnsi="Arial" w:cs="Arial"/>
          <w:color w:val="383838"/>
          <w:sz w:val="21"/>
          <w:szCs w:val="21"/>
        </w:rPr>
        <w:t>- zawartość żużla i popiołu w paliwie, [%], np. w koksie 20%, w węglu kamiennym grubym 25%, w węglu brunatnym 50%,</w:t>
      </w:r>
    </w:p>
    <w:p w:rsidR="002D5AE3" w:rsidRDefault="00683D0D">
      <w:pPr>
        <w:spacing w:after="0" w:line="276" w:lineRule="auto"/>
        <w:rPr>
          <w:rFonts w:ascii="Arial" w:eastAsia="Arial" w:hAnsi="Arial" w:cs="Arial"/>
          <w:color w:val="383838"/>
          <w:sz w:val="21"/>
          <w:szCs w:val="21"/>
        </w:rPr>
      </w:pPr>
      <w:proofErr w:type="spellStart"/>
      <w:r>
        <w:rPr>
          <w:rFonts w:ascii="Arial" w:eastAsia="Arial" w:hAnsi="Arial" w:cs="Arial"/>
          <w:b/>
          <w:color w:val="383838"/>
          <w:sz w:val="21"/>
          <w:szCs w:val="21"/>
        </w:rPr>
        <w:t>Pż</w:t>
      </w:r>
      <w:proofErr w:type="spellEnd"/>
      <w:r>
        <w:rPr>
          <w:rFonts w:ascii="Arial" w:eastAsia="Arial" w:hAnsi="Arial" w:cs="Arial"/>
          <w:color w:val="383838"/>
          <w:sz w:val="21"/>
          <w:szCs w:val="21"/>
        </w:rPr>
        <w:t xml:space="preserve"> - gęstość nasypowa, [kg/m3]. Wartość </w:t>
      </w:r>
      <w:proofErr w:type="spellStart"/>
      <w:r>
        <w:rPr>
          <w:rFonts w:ascii="Arial" w:eastAsia="Arial" w:hAnsi="Arial" w:cs="Arial"/>
          <w:color w:val="383838"/>
          <w:sz w:val="21"/>
          <w:szCs w:val="21"/>
        </w:rPr>
        <w:t>Pż</w:t>
      </w:r>
      <w:proofErr w:type="spellEnd"/>
      <w:r>
        <w:rPr>
          <w:rFonts w:ascii="Arial" w:eastAsia="Arial" w:hAnsi="Arial" w:cs="Arial"/>
          <w:color w:val="383838"/>
          <w:sz w:val="21"/>
          <w:szCs w:val="21"/>
        </w:rPr>
        <w:t xml:space="preserve"> = 800 kg/m3</w:t>
      </w:r>
    </w:p>
    <w:p w:rsidR="002D5AE3" w:rsidRDefault="002D5AE3">
      <w:pPr>
        <w:rPr>
          <w:sz w:val="24"/>
          <w:szCs w:val="24"/>
        </w:rPr>
      </w:pPr>
      <w:bookmarkStart w:id="3" w:name="_9yb0y5jkywpx" w:colFirst="0" w:colLast="0"/>
      <w:bookmarkEnd w:id="3"/>
    </w:p>
    <w:sectPr w:rsidR="002D5AE3">
      <w:headerReference w:type="default" r:id="rId13"/>
      <w:footerReference w:type="default" r:id="rId14"/>
      <w:pgSz w:w="11906" w:h="16838"/>
      <w:pgMar w:top="1417" w:right="849" w:bottom="1417" w:left="1417" w:header="708"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694E" w:rsidRDefault="0076694E">
      <w:pPr>
        <w:spacing w:after="0" w:line="240" w:lineRule="auto"/>
      </w:pPr>
      <w:r>
        <w:separator/>
      </w:r>
    </w:p>
  </w:endnote>
  <w:endnote w:type="continuationSeparator" w:id="0">
    <w:p w:rsidR="0076694E" w:rsidRDefault="00766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PT Sans">
    <w:altName w:val="Times New Roman"/>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5AE3" w:rsidRDefault="00683D0D">
    <w:pPr>
      <w:pBdr>
        <w:top w:val="nil"/>
        <w:left w:val="nil"/>
        <w:bottom w:val="nil"/>
        <w:right w:val="nil"/>
        <w:between w:val="nil"/>
      </w:pBdr>
      <w:spacing w:after="0" w:line="288" w:lineRule="auto"/>
      <w:ind w:left="-567"/>
      <w:rPr>
        <w:rFonts w:ascii="PT Sans" w:eastAsia="PT Sans" w:hAnsi="PT Sans" w:cs="PT Sans"/>
        <w:color w:val="323232"/>
        <w:sz w:val="24"/>
        <w:szCs w:val="24"/>
      </w:rPr>
    </w:pPr>
    <w:r>
      <w:rPr>
        <w:rFonts w:ascii="PT Sans" w:eastAsia="PT Sans" w:hAnsi="PT Sans" w:cs="PT Sans"/>
        <w:color w:val="323232"/>
        <w:sz w:val="24"/>
        <w:szCs w:val="24"/>
      </w:rPr>
      <w:t>GLOBENERGIA Sp. z o.o.</w:t>
    </w:r>
    <w:r>
      <w:rPr>
        <w:noProof/>
      </w:rPr>
      <mc:AlternateContent>
        <mc:Choice Requires="wps">
          <w:drawing>
            <wp:anchor distT="0" distB="0" distL="114300" distR="114300" simplePos="0" relativeHeight="251659264" behindDoc="0" locked="0" layoutInCell="1" hidden="0" allowOverlap="1">
              <wp:simplePos x="0" y="0"/>
              <wp:positionH relativeFrom="margin">
                <wp:posOffset>-876299</wp:posOffset>
              </wp:positionH>
              <wp:positionV relativeFrom="paragraph">
                <wp:posOffset>228600</wp:posOffset>
              </wp:positionV>
              <wp:extent cx="7505700" cy="12700"/>
              <wp:effectExtent l="0" t="0" r="0" b="0"/>
              <wp:wrapNone/>
              <wp:docPr id="2" name="Łącznik prosty ze strzałką 2"/>
              <wp:cNvGraphicFramePr/>
              <a:graphic xmlns:a="http://schemas.openxmlformats.org/drawingml/2006/main">
                <a:graphicData uri="http://schemas.microsoft.com/office/word/2010/wordprocessingShape">
                  <wps:wsp>
                    <wps:cNvCnPr/>
                    <wps:spPr>
                      <a:xfrm>
                        <a:off x="1593150" y="3776190"/>
                        <a:ext cx="7505700" cy="7620"/>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anchor>
          </w:drawing>
        </mc:Choice>
        <mc:Fallback>
          <w:pict>
            <v:shapetype w14:anchorId="4A46D5A7" id="_x0000_t32" coordsize="21600,21600" o:spt="32" o:oned="t" path="m,l21600,21600e" filled="f">
              <v:path arrowok="t" fillok="f" o:connecttype="none"/>
              <o:lock v:ext="edit" shapetype="t"/>
            </v:shapetype>
            <v:shape id="Łącznik prosty ze strzałką 2" o:spid="_x0000_s1026" type="#_x0000_t32" style="position:absolute;margin-left:-69pt;margin-top:18pt;width:591pt;height:1pt;z-index:25165926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" strokecolor="#4f81bd [3204]">
              <v:stroke startarrowwidth="narrow" startarrowlength="short" endarrowwidth="narrow" endarrowlength="short" joinstyle="miter"/>
              <w10:wrap anchorx="margin"/>
            </v:shape>
          </w:pict>
        </mc:Fallback>
      </mc:AlternateContent>
    </w:r>
  </w:p>
  <w:p w:rsidR="002D5AE3" w:rsidRDefault="002D5AE3">
    <w:pPr>
      <w:pBdr>
        <w:top w:val="nil"/>
        <w:left w:val="nil"/>
        <w:bottom w:val="nil"/>
        <w:right w:val="nil"/>
        <w:between w:val="nil"/>
      </w:pBdr>
      <w:spacing w:after="0" w:line="288" w:lineRule="auto"/>
      <w:ind w:left="-567"/>
      <w:rPr>
        <w:rFonts w:ascii="PT Sans" w:eastAsia="PT Sans" w:hAnsi="PT Sans" w:cs="PT Sans"/>
        <w:color w:val="323232"/>
        <w:sz w:val="24"/>
        <w:szCs w:val="24"/>
      </w:rPr>
    </w:pPr>
  </w:p>
  <w:p w:rsidR="002D5AE3" w:rsidRDefault="00683D0D">
    <w:pPr>
      <w:pBdr>
        <w:top w:val="nil"/>
        <w:left w:val="nil"/>
        <w:bottom w:val="nil"/>
        <w:right w:val="nil"/>
        <w:between w:val="nil"/>
      </w:pBdr>
      <w:spacing w:after="0" w:line="288" w:lineRule="auto"/>
      <w:ind w:left="-567"/>
      <w:jc w:val="both"/>
      <w:rPr>
        <w:rFonts w:ascii="PT Sans" w:eastAsia="PT Sans" w:hAnsi="PT Sans" w:cs="PT Sans"/>
        <w:color w:val="323232"/>
        <w:sz w:val="20"/>
        <w:szCs w:val="20"/>
      </w:rPr>
    </w:pPr>
    <w:r>
      <w:rPr>
        <w:rFonts w:ascii="PT Sans" w:eastAsia="PT Sans" w:hAnsi="PT Sans" w:cs="PT Sans"/>
        <w:color w:val="323232"/>
        <w:sz w:val="20"/>
        <w:szCs w:val="20"/>
      </w:rPr>
      <w:t>ul. Cechowa 51, 30-614 Kraków, PL     |     tel. +48 12 654 52 12     |     redakcja@globenergia.pl     |    termomodernizacja.pl   |   www.globenergia.pl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694E" w:rsidRDefault="0076694E">
      <w:pPr>
        <w:spacing w:after="0" w:line="240" w:lineRule="auto"/>
      </w:pPr>
      <w:r>
        <w:separator/>
      </w:r>
    </w:p>
  </w:footnote>
  <w:footnote w:type="continuationSeparator" w:id="0">
    <w:p w:rsidR="0076694E" w:rsidRDefault="007669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5AE3" w:rsidRDefault="00683D0D">
    <w:pPr>
      <w:pBdr>
        <w:top w:val="nil"/>
        <w:left w:val="nil"/>
        <w:bottom w:val="nil"/>
        <w:right w:val="nil"/>
        <w:between w:val="nil"/>
      </w:pBdr>
      <w:tabs>
        <w:tab w:val="center" w:pos="4536"/>
        <w:tab w:val="right" w:pos="9072"/>
      </w:tabs>
      <w:spacing w:after="0" w:line="240" w:lineRule="auto"/>
      <w:ind w:left="-567"/>
      <w:rPr>
        <w:color w:val="000000"/>
      </w:rPr>
    </w:pPr>
    <w:r>
      <w:rPr>
        <w:noProof/>
        <w:color w:val="000000"/>
      </w:rPr>
      <w:drawing>
        <wp:inline distT="0" distB="0" distL="0" distR="0">
          <wp:extent cx="2163130" cy="304488"/>
          <wp:effectExtent l="0" t="0" r="0" b="0"/>
          <wp:docPr id="7"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
                  <a:srcRect/>
                  <a:stretch>
                    <a:fillRect/>
                  </a:stretch>
                </pic:blipFill>
                <pic:spPr>
                  <a:xfrm>
                    <a:off x="0" y="0"/>
                    <a:ext cx="2163130" cy="304488"/>
                  </a:xfrm>
                  <a:prstGeom prst="rect">
                    <a:avLst/>
                  </a:prstGeom>
                  <a:ln/>
                </pic:spPr>
              </pic:pic>
            </a:graphicData>
          </a:graphic>
        </wp:inline>
      </w:drawing>
    </w:r>
  </w:p>
  <w:p w:rsidR="002D5AE3" w:rsidRDefault="00683D0D">
    <w:pPr>
      <w:pBdr>
        <w:top w:val="nil"/>
        <w:left w:val="nil"/>
        <w:bottom w:val="nil"/>
        <w:right w:val="nil"/>
        <w:between w:val="nil"/>
      </w:pBdr>
      <w:spacing w:after="0" w:line="288" w:lineRule="auto"/>
      <w:ind w:hanging="567"/>
      <w:rPr>
        <w:rFonts w:ascii="PT Sans" w:eastAsia="PT Sans" w:hAnsi="PT Sans" w:cs="PT Sans"/>
        <w:color w:val="767171"/>
        <w:sz w:val="24"/>
        <w:szCs w:val="24"/>
      </w:rPr>
    </w:pPr>
    <w:r>
      <w:rPr>
        <w:rFonts w:ascii="PT Sans" w:eastAsia="PT Sans" w:hAnsi="PT Sans" w:cs="PT Sans"/>
        <w:color w:val="767171"/>
        <w:sz w:val="24"/>
        <w:szCs w:val="24"/>
      </w:rPr>
      <w:t>Platforma inwestorów i wykonawców technologii energooszczędnych</w:t>
    </w:r>
    <w:r>
      <w:rPr>
        <w:noProof/>
      </w:rPr>
      <mc:AlternateContent>
        <mc:Choice Requires="wps">
          <w:drawing>
            <wp:anchor distT="0" distB="0" distL="114300" distR="114300" simplePos="0" relativeHeight="251658240" behindDoc="0" locked="0" layoutInCell="1" hidden="0" allowOverlap="1">
              <wp:simplePos x="0" y="0"/>
              <wp:positionH relativeFrom="margin">
                <wp:posOffset>-863599</wp:posOffset>
              </wp:positionH>
              <wp:positionV relativeFrom="paragraph">
                <wp:posOffset>266700</wp:posOffset>
              </wp:positionV>
              <wp:extent cx="7506335" cy="12700"/>
              <wp:effectExtent l="0" t="0" r="0" b="0"/>
              <wp:wrapNone/>
              <wp:docPr id="1" name="Łącznik prosty ze strzałką 1"/>
              <wp:cNvGraphicFramePr/>
              <a:graphic xmlns:a="http://schemas.openxmlformats.org/drawingml/2006/main">
                <a:graphicData uri="http://schemas.microsoft.com/office/word/2010/wordprocessingShape">
                  <wps:wsp>
                    <wps:cNvCnPr/>
                    <wps:spPr>
                      <a:xfrm>
                        <a:off x="1592833" y="3775873"/>
                        <a:ext cx="7506335" cy="8255"/>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anchor>
          </w:drawing>
        </mc:Choice>
        <mc:Fallback>
          <w:pict>
            <v:shapetype w14:anchorId="62A1D705" id="_x0000_t32" coordsize="21600,21600" o:spt="32" o:oned="t" path="m,l21600,21600e" filled="f">
              <v:path arrowok="t" fillok="f" o:connecttype="none"/>
              <o:lock v:ext="edit" shapetype="t"/>
            </v:shapetype>
            <v:shape id="Łącznik prosty ze strzałką 1" o:spid="_x0000_s1026" type="#_x0000_t32" style="position:absolute;margin-left:-68pt;margin-top:21pt;width:591.05pt;height:1pt;z-index:25165824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" strokecolor="#4f81bd [3204]">
              <v:stroke startarrowwidth="narrow" startarrowlength="short" endarrowwidth="narrow" endarrowlength="short" joinstyle="miter"/>
              <w10:wrap anchorx="margin"/>
            </v:shape>
          </w:pict>
        </mc:Fallback>
      </mc:AlternateContent>
    </w:r>
  </w:p>
  <w:p w:rsidR="002D5AE3" w:rsidRDefault="002D5AE3">
    <w:pPr>
      <w:pBdr>
        <w:top w:val="nil"/>
        <w:left w:val="nil"/>
        <w:bottom w:val="nil"/>
        <w:right w:val="nil"/>
        <w:between w:val="nil"/>
      </w:pBdr>
      <w:tabs>
        <w:tab w:val="center" w:pos="4536"/>
        <w:tab w:val="right" w:pos="9072"/>
      </w:tabs>
      <w:spacing w:after="0" w:line="240" w:lineRule="auto"/>
      <w:ind w:left="-1417" w:right="-1417"/>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350FD"/>
    <w:multiLevelType w:val="multilevel"/>
    <w:tmpl w:val="7E5863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04A6A0D"/>
    <w:multiLevelType w:val="multilevel"/>
    <w:tmpl w:val="6BEC973E"/>
    <w:lvl w:ilvl="0">
      <w:start w:val="1"/>
      <w:numFmt w:val="decimal"/>
      <w:lvlText w:val="%1."/>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rFonts w:ascii="Arial" w:eastAsia="Arial" w:hAnsi="Arial" w:cs="Arial"/>
        <w:color w:val="222222"/>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4B6401B4"/>
    <w:multiLevelType w:val="multilevel"/>
    <w:tmpl w:val="06F4F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5F372B3"/>
    <w:multiLevelType w:val="multilevel"/>
    <w:tmpl w:val="191A4C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C194033"/>
    <w:multiLevelType w:val="multilevel"/>
    <w:tmpl w:val="6CBAAA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8FF20B0"/>
    <w:multiLevelType w:val="multilevel"/>
    <w:tmpl w:val="93AEDF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AE3"/>
    <w:rsid w:val="00136A72"/>
    <w:rsid w:val="0027396B"/>
    <w:rsid w:val="002D5AE3"/>
    <w:rsid w:val="00335CB7"/>
    <w:rsid w:val="003652BD"/>
    <w:rsid w:val="004368CF"/>
    <w:rsid w:val="00683D0D"/>
    <w:rsid w:val="0076694E"/>
    <w:rsid w:val="008D1CA5"/>
    <w:rsid w:val="008F21F2"/>
    <w:rsid w:val="00991AF0"/>
    <w:rsid w:val="00A31982"/>
    <w:rsid w:val="00D46A72"/>
    <w:rsid w:val="00F41926"/>
    <w:rsid w:val="00F516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4687C-6717-4C3D-B6CD-76400B6B1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style>
  <w:style w:type="paragraph" w:styleId="Nagwek1">
    <w:name w:val="heading 1"/>
    <w:basedOn w:val="Normalny"/>
    <w:next w:val="Normalny"/>
    <w:pPr>
      <w:keepNext/>
      <w:keepLines/>
      <w:spacing w:before="240" w:after="0"/>
      <w:outlineLvl w:val="0"/>
    </w:pPr>
    <w:rPr>
      <w:color w:val="2E75B5"/>
      <w:sz w:val="32"/>
      <w:szCs w:val="32"/>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Tekstdymka">
    <w:name w:val="Balloon Text"/>
    <w:basedOn w:val="Normalny"/>
    <w:link w:val="TekstdymkaZnak"/>
    <w:uiPriority w:val="99"/>
    <w:semiHidden/>
    <w:unhideWhenUsed/>
    <w:rsid w:val="00335CB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35CB7"/>
    <w:rPr>
      <w:rFonts w:ascii="Segoe UI" w:hAnsi="Segoe UI" w:cs="Segoe UI"/>
      <w:sz w:val="18"/>
      <w:szCs w:val="18"/>
    </w:rPr>
  </w:style>
  <w:style w:type="character" w:styleId="Hipercze">
    <w:name w:val="Hyperlink"/>
    <w:basedOn w:val="Domylnaczcionkaakapitu"/>
    <w:uiPriority w:val="99"/>
    <w:semiHidden/>
    <w:unhideWhenUsed/>
    <w:rsid w:val="008F21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980</Words>
  <Characters>5881</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Ruman</dc:creator>
  <cp:lastModifiedBy>Magdalena Ruman</cp:lastModifiedBy>
  <cp:revision>5</cp:revision>
  <cp:lastPrinted>2018-08-28T10:51:00Z</cp:lastPrinted>
  <dcterms:created xsi:type="dcterms:W3CDTF">2018-08-28T10:50:00Z</dcterms:created>
  <dcterms:modified xsi:type="dcterms:W3CDTF">2018-08-29T13:50:00Z</dcterms:modified>
</cp:coreProperties>
</file>